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01CA" w:rsidRDefault="007301CA" w:rsidP="0071011E">
      <w:pPr>
        <w:spacing w:line="480" w:lineRule="auto"/>
        <w:ind w:firstLine="720"/>
        <w:jc w:val="center"/>
        <w:rPr>
          <w:rFonts w:ascii="Times New Roman" w:hAnsi="Times New Roman" w:cs="Times New Roman"/>
          <w:sz w:val="24"/>
          <w:szCs w:val="24"/>
        </w:rPr>
      </w:pPr>
    </w:p>
    <w:p w:rsidR="007301CA" w:rsidRDefault="007301CA" w:rsidP="0071011E">
      <w:pPr>
        <w:spacing w:line="480" w:lineRule="auto"/>
        <w:ind w:firstLine="720"/>
        <w:jc w:val="center"/>
        <w:rPr>
          <w:rFonts w:ascii="Times New Roman" w:hAnsi="Times New Roman" w:cs="Times New Roman"/>
          <w:sz w:val="24"/>
          <w:szCs w:val="24"/>
        </w:rPr>
      </w:pPr>
    </w:p>
    <w:p w:rsidR="0071011E" w:rsidRDefault="0071011E" w:rsidP="0071011E">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Medical Practice</w:t>
      </w:r>
    </w:p>
    <w:p w:rsidR="0071011E" w:rsidRPr="0071011E" w:rsidRDefault="0071011E" w:rsidP="0071011E">
      <w:pPr>
        <w:spacing w:line="480" w:lineRule="auto"/>
        <w:ind w:firstLine="720"/>
        <w:jc w:val="center"/>
        <w:rPr>
          <w:rFonts w:ascii="Times New Roman" w:hAnsi="Times New Roman" w:cs="Times New Roman"/>
          <w:sz w:val="24"/>
          <w:szCs w:val="24"/>
        </w:rPr>
      </w:pPr>
      <w:r w:rsidRPr="0071011E">
        <w:rPr>
          <w:rFonts w:ascii="Times New Roman" w:hAnsi="Times New Roman" w:cs="Times New Roman"/>
          <w:sz w:val="24"/>
          <w:szCs w:val="24"/>
        </w:rPr>
        <w:t>Student’s name.</w:t>
      </w:r>
    </w:p>
    <w:p w:rsidR="0071011E" w:rsidRPr="0071011E" w:rsidRDefault="0071011E" w:rsidP="0071011E">
      <w:pPr>
        <w:spacing w:line="480" w:lineRule="auto"/>
        <w:ind w:firstLine="720"/>
        <w:jc w:val="center"/>
        <w:rPr>
          <w:rFonts w:ascii="Times New Roman" w:hAnsi="Times New Roman" w:cs="Times New Roman"/>
          <w:sz w:val="24"/>
          <w:szCs w:val="24"/>
        </w:rPr>
      </w:pPr>
      <w:r w:rsidRPr="0071011E">
        <w:rPr>
          <w:rFonts w:ascii="Times New Roman" w:hAnsi="Times New Roman" w:cs="Times New Roman"/>
          <w:sz w:val="24"/>
          <w:szCs w:val="24"/>
        </w:rPr>
        <w:t>Institutional affiliation.</w:t>
      </w:r>
    </w:p>
    <w:p w:rsidR="0071011E" w:rsidRPr="0071011E" w:rsidRDefault="0071011E" w:rsidP="0071011E">
      <w:pPr>
        <w:spacing w:line="480" w:lineRule="auto"/>
        <w:ind w:firstLine="720"/>
        <w:jc w:val="center"/>
        <w:rPr>
          <w:rFonts w:ascii="Times New Roman" w:hAnsi="Times New Roman" w:cs="Times New Roman"/>
          <w:sz w:val="24"/>
          <w:szCs w:val="24"/>
        </w:rPr>
      </w:pPr>
      <w:r w:rsidRPr="0071011E">
        <w:rPr>
          <w:rFonts w:ascii="Times New Roman" w:hAnsi="Times New Roman" w:cs="Times New Roman"/>
          <w:sz w:val="24"/>
          <w:szCs w:val="24"/>
        </w:rPr>
        <w:t>Course-name.</w:t>
      </w:r>
    </w:p>
    <w:p w:rsidR="0071011E" w:rsidRPr="0071011E" w:rsidRDefault="0071011E" w:rsidP="0071011E">
      <w:pPr>
        <w:spacing w:line="480" w:lineRule="auto"/>
        <w:ind w:firstLine="720"/>
        <w:jc w:val="center"/>
        <w:rPr>
          <w:rFonts w:ascii="Times New Roman" w:hAnsi="Times New Roman" w:cs="Times New Roman"/>
          <w:sz w:val="24"/>
          <w:szCs w:val="24"/>
        </w:rPr>
      </w:pPr>
      <w:r w:rsidRPr="0071011E">
        <w:rPr>
          <w:rFonts w:ascii="Times New Roman" w:hAnsi="Times New Roman" w:cs="Times New Roman"/>
          <w:sz w:val="24"/>
          <w:szCs w:val="24"/>
        </w:rPr>
        <w:t>Course number.</w:t>
      </w:r>
    </w:p>
    <w:p w:rsidR="0071011E" w:rsidRDefault="0071011E" w:rsidP="0071011E">
      <w:pPr>
        <w:spacing w:line="480" w:lineRule="auto"/>
        <w:ind w:firstLine="720"/>
        <w:jc w:val="center"/>
        <w:rPr>
          <w:rFonts w:ascii="Times New Roman" w:hAnsi="Times New Roman" w:cs="Times New Roman"/>
          <w:sz w:val="24"/>
          <w:szCs w:val="24"/>
        </w:rPr>
      </w:pPr>
      <w:r w:rsidRPr="0071011E">
        <w:rPr>
          <w:rFonts w:ascii="Times New Roman" w:hAnsi="Times New Roman" w:cs="Times New Roman"/>
          <w:sz w:val="24"/>
          <w:szCs w:val="24"/>
        </w:rPr>
        <w:t>Date of submission</w:t>
      </w: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ind w:firstLine="720"/>
        <w:rPr>
          <w:rFonts w:ascii="Times New Roman" w:hAnsi="Times New Roman" w:cs="Times New Roman"/>
          <w:sz w:val="24"/>
          <w:szCs w:val="24"/>
        </w:rPr>
      </w:pPr>
    </w:p>
    <w:p w:rsidR="0071011E" w:rsidRDefault="0071011E" w:rsidP="0071011E">
      <w:pPr>
        <w:spacing w:line="480" w:lineRule="auto"/>
        <w:rPr>
          <w:rFonts w:ascii="Times New Roman" w:hAnsi="Times New Roman" w:cs="Times New Roman"/>
          <w:sz w:val="24"/>
          <w:szCs w:val="24"/>
        </w:rPr>
      </w:pPr>
    </w:p>
    <w:p w:rsidR="00CE51DD" w:rsidRDefault="00CE51DD" w:rsidP="00CE51D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QUESTION 1</w:t>
      </w:r>
    </w:p>
    <w:p w:rsidR="002C002D" w:rsidRPr="0071011E" w:rsidRDefault="006D3083" w:rsidP="0071011E">
      <w:pPr>
        <w:spacing w:line="480" w:lineRule="auto"/>
        <w:ind w:firstLine="720"/>
        <w:rPr>
          <w:rFonts w:ascii="Times New Roman" w:hAnsi="Times New Roman" w:cs="Times New Roman"/>
          <w:sz w:val="24"/>
          <w:szCs w:val="24"/>
        </w:rPr>
      </w:pPr>
      <w:r>
        <w:rPr>
          <w:rFonts w:ascii="Times New Roman" w:hAnsi="Times New Roman" w:cs="Times New Roman"/>
          <w:sz w:val="24"/>
          <w:szCs w:val="24"/>
        </w:rPr>
        <w:t>Taiwo et al. 2016 argues that b</w:t>
      </w:r>
      <w:r w:rsidR="00B40337" w:rsidRPr="0071011E">
        <w:rPr>
          <w:rFonts w:ascii="Times New Roman" w:hAnsi="Times New Roman" w:cs="Times New Roman"/>
          <w:sz w:val="24"/>
          <w:szCs w:val="24"/>
        </w:rPr>
        <w:t xml:space="preserve">oth vision and mission relate to the purpose of the organization and are generally communicated in written form. They are statements from the organization to provide answers to questions about who they are, what they value and where they are going. In the medical practice, institutions with widely understood, clearly communicated and collectively shared vision and mission have proved to perform better compared to those without them. Mission statements speak the institution purpose of being, and how it objects in serving its </w:t>
      </w:r>
      <w:r w:rsidR="005547CC" w:rsidRPr="0071011E">
        <w:rPr>
          <w:rFonts w:ascii="Times New Roman" w:hAnsi="Times New Roman" w:cs="Times New Roman"/>
          <w:sz w:val="24"/>
          <w:szCs w:val="24"/>
        </w:rPr>
        <w:t>essential stakeholders. Values, on the other hand, are norms of the group or individual, and in this case, the medical practice institution, in which they are invested emotionally.</w:t>
      </w:r>
    </w:p>
    <w:p w:rsidR="005547CC" w:rsidRPr="0071011E" w:rsidRDefault="00B40337" w:rsidP="0071011E">
      <w:pPr>
        <w:spacing w:line="480" w:lineRule="auto"/>
        <w:ind w:firstLine="720"/>
        <w:rPr>
          <w:rFonts w:ascii="Times New Roman" w:hAnsi="Times New Roman" w:cs="Times New Roman"/>
          <w:sz w:val="24"/>
          <w:szCs w:val="24"/>
        </w:rPr>
      </w:pPr>
      <w:r w:rsidRPr="0071011E">
        <w:rPr>
          <w:rFonts w:ascii="Times New Roman" w:hAnsi="Times New Roman" w:cs="Times New Roman"/>
          <w:sz w:val="24"/>
          <w:szCs w:val="24"/>
        </w:rPr>
        <w:t>In contrast, a vision statement is an institution's future-oriented declaration of its aspirations and purpose.  Vision and mission statements play three crucial roles which are communicating the importance of the institution's stake</w:t>
      </w:r>
      <w:r w:rsidR="00B01B81" w:rsidRPr="0071011E">
        <w:rPr>
          <w:rFonts w:ascii="Times New Roman" w:hAnsi="Times New Roman" w:cs="Times New Roman"/>
          <w:sz w:val="24"/>
          <w:szCs w:val="24"/>
        </w:rPr>
        <w:t>holders, informing the development strategy as well as developing measurable objectives and goals which to gauge the success of the institution's system</w:t>
      </w:r>
      <w:r w:rsidR="007301CA" w:rsidRPr="007301CA">
        <w:rPr>
          <w:rFonts w:ascii="Times New Roman" w:hAnsi="Times New Roman" w:cs="Times New Roman"/>
          <w:sz w:val="24"/>
          <w:szCs w:val="24"/>
        </w:rPr>
        <w:t xml:space="preserve"> </w:t>
      </w:r>
      <w:r w:rsidR="007301CA">
        <w:rPr>
          <w:rFonts w:ascii="Times New Roman" w:hAnsi="Times New Roman" w:cs="Times New Roman"/>
          <w:sz w:val="24"/>
          <w:szCs w:val="24"/>
        </w:rPr>
        <w:t>(</w:t>
      </w:r>
      <w:r w:rsidR="007301CA" w:rsidRPr="007301CA">
        <w:rPr>
          <w:rFonts w:ascii="Times New Roman" w:hAnsi="Times New Roman" w:cs="Times New Roman"/>
          <w:sz w:val="24"/>
          <w:szCs w:val="24"/>
        </w:rPr>
        <w:t>Taiwo et al. 2016</w:t>
      </w:r>
      <w:r w:rsidR="007301CA">
        <w:rPr>
          <w:rFonts w:ascii="Times New Roman" w:hAnsi="Times New Roman" w:cs="Times New Roman"/>
          <w:sz w:val="24"/>
          <w:szCs w:val="24"/>
        </w:rPr>
        <w:t>)</w:t>
      </w:r>
      <w:r w:rsidR="00B01B81" w:rsidRPr="0071011E">
        <w:rPr>
          <w:rFonts w:ascii="Times New Roman" w:hAnsi="Times New Roman" w:cs="Times New Roman"/>
          <w:sz w:val="24"/>
          <w:szCs w:val="24"/>
        </w:rPr>
        <w:t>.</w:t>
      </w:r>
    </w:p>
    <w:p w:rsidR="00CE51DD" w:rsidRDefault="00CE51DD" w:rsidP="00CE51DD">
      <w:pPr>
        <w:spacing w:line="480" w:lineRule="auto"/>
        <w:rPr>
          <w:rFonts w:ascii="Times New Roman" w:hAnsi="Times New Roman" w:cs="Times New Roman"/>
          <w:sz w:val="24"/>
          <w:szCs w:val="24"/>
        </w:rPr>
      </w:pPr>
      <w:r>
        <w:rPr>
          <w:rFonts w:ascii="Times New Roman" w:hAnsi="Times New Roman" w:cs="Times New Roman"/>
          <w:sz w:val="24"/>
          <w:szCs w:val="24"/>
        </w:rPr>
        <w:t>QUESTION 2</w:t>
      </w:r>
    </w:p>
    <w:p w:rsidR="008A7E42" w:rsidRPr="0071011E" w:rsidRDefault="006D3083" w:rsidP="0071011E">
      <w:pPr>
        <w:spacing w:line="480" w:lineRule="auto"/>
        <w:ind w:firstLine="720"/>
        <w:rPr>
          <w:rFonts w:ascii="Times New Roman" w:hAnsi="Times New Roman" w:cs="Times New Roman"/>
          <w:sz w:val="24"/>
          <w:szCs w:val="24"/>
        </w:rPr>
      </w:pPr>
      <w:r w:rsidRPr="006D3083">
        <w:rPr>
          <w:rFonts w:ascii="Times New Roman" w:hAnsi="Times New Roman" w:cs="Times New Roman"/>
          <w:sz w:val="24"/>
          <w:szCs w:val="24"/>
        </w:rPr>
        <w:t xml:space="preserve">Chavan &amp; Bangal, 2019 </w:t>
      </w:r>
      <w:r>
        <w:rPr>
          <w:rFonts w:ascii="Times New Roman" w:hAnsi="Times New Roman" w:cs="Times New Roman"/>
          <w:sz w:val="24"/>
          <w:szCs w:val="24"/>
        </w:rPr>
        <w:t>argues that m</w:t>
      </w:r>
      <w:r w:rsidR="00B40337" w:rsidRPr="0071011E">
        <w:rPr>
          <w:rFonts w:ascii="Times New Roman" w:hAnsi="Times New Roman" w:cs="Times New Roman"/>
          <w:sz w:val="24"/>
          <w:szCs w:val="24"/>
        </w:rPr>
        <w:t xml:space="preserve">edicine is the practice and science of establishing the prognosis, diagnosis, treatment and prevention of the disease. It incorporates a variety of healthcare practices for maintaining and restoring health by the treatment and prevention of illness. The medical practice operations and functions are either internal or external. </w:t>
      </w:r>
      <w:r w:rsidR="00D71DE0" w:rsidRPr="0071011E">
        <w:rPr>
          <w:rFonts w:ascii="Times New Roman" w:hAnsi="Times New Roman" w:cs="Times New Roman"/>
          <w:sz w:val="24"/>
          <w:szCs w:val="24"/>
        </w:rPr>
        <w:t xml:space="preserve"> Contemporary medicine applies biomedical research, biomedical research medical technology and genetics to, treat, diagnose, prevent injury and disease generally through surgery or </w:t>
      </w:r>
      <w:r w:rsidR="00D71DE0" w:rsidRPr="0071011E">
        <w:rPr>
          <w:rFonts w:ascii="Times New Roman" w:hAnsi="Times New Roman" w:cs="Times New Roman"/>
          <w:sz w:val="24"/>
          <w:szCs w:val="24"/>
        </w:rPr>
        <w:lastRenderedPageBreak/>
        <w:t>pharmaceuticals and also through therapies as external traction and splints, psychotherapy, biologics medical devices and ionizing radiation.</w:t>
      </w:r>
    </w:p>
    <w:p w:rsidR="00D71DE0" w:rsidRPr="0071011E" w:rsidRDefault="00B40337" w:rsidP="0071011E">
      <w:pPr>
        <w:spacing w:line="480" w:lineRule="auto"/>
        <w:ind w:firstLine="720"/>
        <w:rPr>
          <w:rFonts w:ascii="Times New Roman" w:hAnsi="Times New Roman" w:cs="Times New Roman"/>
          <w:sz w:val="24"/>
          <w:szCs w:val="24"/>
        </w:rPr>
      </w:pPr>
      <w:r w:rsidRPr="0071011E">
        <w:rPr>
          <w:rFonts w:ascii="Times New Roman" w:hAnsi="Times New Roman" w:cs="Times New Roman"/>
          <w:sz w:val="24"/>
          <w:szCs w:val="24"/>
        </w:rPr>
        <w:t>Internal functions include personal assessing of the patients by physician assistants and physicians to prognosis, diagnose, prevent and treat disease using clinical judgement</w:t>
      </w:r>
      <w:r w:rsidR="00454F22" w:rsidRPr="0071011E">
        <w:rPr>
          <w:rFonts w:ascii="Times New Roman" w:hAnsi="Times New Roman" w:cs="Times New Roman"/>
          <w:sz w:val="24"/>
          <w:szCs w:val="24"/>
        </w:rPr>
        <w:t>. It begins with an examination of the medical record and medical history of the patient, both clinical and physical examination followed by a medical interview. External functions include training of medical practitioners</w:t>
      </w:r>
      <w:r w:rsidR="00866315" w:rsidRPr="0071011E">
        <w:rPr>
          <w:rFonts w:ascii="Times New Roman" w:hAnsi="Times New Roman" w:cs="Times New Roman"/>
          <w:sz w:val="24"/>
          <w:szCs w:val="24"/>
        </w:rPr>
        <w:t xml:space="preserve"> as well as medical ethics which provides for dealing with moral</w:t>
      </w:r>
      <w:r w:rsidR="0056145F" w:rsidRPr="0071011E">
        <w:rPr>
          <w:rFonts w:ascii="Times New Roman" w:hAnsi="Times New Roman" w:cs="Times New Roman"/>
          <w:sz w:val="24"/>
          <w:szCs w:val="24"/>
        </w:rPr>
        <w:t xml:space="preserve"> and ethical principles that apply judgements and values to medical practice</w:t>
      </w:r>
      <w:r w:rsidR="007301CA" w:rsidRPr="007301CA">
        <w:rPr>
          <w:rFonts w:ascii="Times New Roman" w:hAnsi="Times New Roman" w:cs="Times New Roman"/>
          <w:sz w:val="24"/>
          <w:szCs w:val="24"/>
        </w:rPr>
        <w:t xml:space="preserve"> </w:t>
      </w:r>
      <w:r w:rsidR="007301CA">
        <w:rPr>
          <w:rFonts w:ascii="Times New Roman" w:hAnsi="Times New Roman" w:cs="Times New Roman"/>
          <w:sz w:val="24"/>
          <w:szCs w:val="24"/>
        </w:rPr>
        <w:t>(</w:t>
      </w:r>
      <w:r w:rsidR="007301CA" w:rsidRPr="007301CA">
        <w:rPr>
          <w:rFonts w:ascii="Times New Roman" w:hAnsi="Times New Roman" w:cs="Times New Roman"/>
          <w:sz w:val="24"/>
          <w:szCs w:val="24"/>
        </w:rPr>
        <w:t>Chavan &amp; Bangal, 2019</w:t>
      </w:r>
      <w:r w:rsidR="007301CA">
        <w:rPr>
          <w:rFonts w:ascii="Times New Roman" w:hAnsi="Times New Roman" w:cs="Times New Roman"/>
          <w:sz w:val="24"/>
          <w:szCs w:val="24"/>
        </w:rPr>
        <w:t>)</w:t>
      </w:r>
      <w:r w:rsidR="0056145F" w:rsidRPr="0071011E">
        <w:rPr>
          <w:rFonts w:ascii="Times New Roman" w:hAnsi="Times New Roman" w:cs="Times New Roman"/>
          <w:sz w:val="24"/>
          <w:szCs w:val="24"/>
        </w:rPr>
        <w:t>.</w:t>
      </w:r>
    </w:p>
    <w:p w:rsidR="00CE51DD" w:rsidRDefault="00CE51DD" w:rsidP="00CE51DD">
      <w:pPr>
        <w:spacing w:line="480" w:lineRule="auto"/>
        <w:rPr>
          <w:rFonts w:ascii="Times New Roman" w:hAnsi="Times New Roman" w:cs="Times New Roman"/>
          <w:sz w:val="24"/>
          <w:szCs w:val="24"/>
        </w:rPr>
      </w:pPr>
      <w:r>
        <w:rPr>
          <w:rFonts w:ascii="Times New Roman" w:hAnsi="Times New Roman" w:cs="Times New Roman"/>
          <w:sz w:val="24"/>
          <w:szCs w:val="24"/>
        </w:rPr>
        <w:t>QUESTION 3</w:t>
      </w:r>
    </w:p>
    <w:p w:rsidR="0056145F" w:rsidRPr="0071011E" w:rsidRDefault="00B40337" w:rsidP="0071011E">
      <w:pPr>
        <w:spacing w:line="480" w:lineRule="auto"/>
        <w:ind w:firstLine="720"/>
        <w:rPr>
          <w:rFonts w:ascii="Times New Roman" w:hAnsi="Times New Roman" w:cs="Times New Roman"/>
          <w:sz w:val="24"/>
          <w:szCs w:val="24"/>
        </w:rPr>
      </w:pPr>
      <w:r w:rsidRPr="0071011E">
        <w:rPr>
          <w:rFonts w:ascii="Times New Roman" w:hAnsi="Times New Roman" w:cs="Times New Roman"/>
          <w:sz w:val="24"/>
          <w:szCs w:val="24"/>
        </w:rPr>
        <w:t>In medical practice, there exist three main models of health care. Scientists and gerontologist use these three models in describing</w:t>
      </w:r>
      <w:r w:rsidR="00DA3C4C" w:rsidRPr="0071011E">
        <w:rPr>
          <w:rFonts w:ascii="Times New Roman" w:hAnsi="Times New Roman" w:cs="Times New Roman"/>
          <w:sz w:val="24"/>
          <w:szCs w:val="24"/>
        </w:rPr>
        <w:t xml:space="preserve"> various approaches to the practice of health care. The models include the social model, medical model and health promotion</w:t>
      </w:r>
      <w:r w:rsidR="007301CA">
        <w:rPr>
          <w:rFonts w:ascii="Times New Roman" w:hAnsi="Times New Roman" w:cs="Times New Roman"/>
          <w:sz w:val="24"/>
          <w:szCs w:val="24"/>
        </w:rPr>
        <w:t xml:space="preserve"> </w:t>
      </w:r>
      <w:r w:rsidR="007301CA" w:rsidRPr="007301CA">
        <w:rPr>
          <w:rFonts w:ascii="Times New Roman" w:hAnsi="Times New Roman" w:cs="Times New Roman"/>
          <w:sz w:val="24"/>
          <w:szCs w:val="24"/>
        </w:rPr>
        <w:t>(Asarnow et al. 2017)</w:t>
      </w:r>
      <w:r w:rsidR="00DA3C4C" w:rsidRPr="0071011E">
        <w:rPr>
          <w:rFonts w:ascii="Times New Roman" w:hAnsi="Times New Roman" w:cs="Times New Roman"/>
          <w:sz w:val="24"/>
          <w:szCs w:val="24"/>
        </w:rPr>
        <w:t xml:space="preserve">. The significance of these models is to simplify real-life, and each has a goal as well as being defined by different health care practice. The medical model mainly focuses on the cure and diagnoses of sickness. It defines healthcare </w:t>
      </w:r>
      <w:r w:rsidR="00CE51DD" w:rsidRPr="0071011E">
        <w:rPr>
          <w:rFonts w:ascii="Times New Roman" w:hAnsi="Times New Roman" w:cs="Times New Roman"/>
          <w:sz w:val="24"/>
          <w:szCs w:val="24"/>
        </w:rPr>
        <w:t>as “illness</w:t>
      </w:r>
      <w:r w:rsidR="00DA3C4C" w:rsidRPr="0071011E">
        <w:rPr>
          <w:rFonts w:ascii="Times New Roman" w:hAnsi="Times New Roman" w:cs="Times New Roman"/>
          <w:sz w:val="24"/>
          <w:szCs w:val="24"/>
        </w:rPr>
        <w:t xml:space="preserve"> treatment”.  Care of the ill and sick is </w:t>
      </w:r>
      <w:r w:rsidR="00D24397" w:rsidRPr="0071011E">
        <w:rPr>
          <w:rFonts w:ascii="Times New Roman" w:hAnsi="Times New Roman" w:cs="Times New Roman"/>
          <w:sz w:val="24"/>
          <w:szCs w:val="24"/>
        </w:rPr>
        <w:t>likely done in nursing homes, hospitals or doctor’s office. The model applies surgery, drugs and rehabilitation in the treatment of diseases.</w:t>
      </w:r>
    </w:p>
    <w:p w:rsidR="00D24397" w:rsidRPr="0071011E" w:rsidRDefault="00B40337" w:rsidP="0071011E">
      <w:pPr>
        <w:spacing w:line="480" w:lineRule="auto"/>
        <w:ind w:firstLine="720"/>
        <w:rPr>
          <w:rFonts w:ascii="Times New Roman" w:hAnsi="Times New Roman" w:cs="Times New Roman"/>
          <w:sz w:val="24"/>
          <w:szCs w:val="24"/>
        </w:rPr>
      </w:pPr>
      <w:r w:rsidRPr="0071011E">
        <w:rPr>
          <w:rFonts w:ascii="Times New Roman" w:hAnsi="Times New Roman" w:cs="Times New Roman"/>
          <w:sz w:val="24"/>
          <w:szCs w:val="24"/>
        </w:rPr>
        <w:t>The social model, which is a</w:t>
      </w:r>
      <w:r w:rsidR="005B5851" w:rsidRPr="0071011E">
        <w:rPr>
          <w:rFonts w:ascii="Times New Roman" w:hAnsi="Times New Roman" w:cs="Times New Roman"/>
          <w:sz w:val="24"/>
          <w:szCs w:val="24"/>
        </w:rPr>
        <w:t xml:space="preserve">lso referred to as the model of care, provides a more active, homey environment and focuses on supporting a patient through a social setting. In this model approach, it focuses on the cognitive requirements of the resident instead of physical or medical needs. It has founded treating principles </w:t>
      </w:r>
      <w:r w:rsidR="009C30B1" w:rsidRPr="0071011E">
        <w:rPr>
          <w:rFonts w:ascii="Times New Roman" w:hAnsi="Times New Roman" w:cs="Times New Roman"/>
          <w:sz w:val="24"/>
          <w:szCs w:val="24"/>
        </w:rPr>
        <w:t xml:space="preserve">on patients as individuals and respecting their wishes and rights and maximizes the independence and abilities of the individuals as possible. Different </w:t>
      </w:r>
      <w:r w:rsidR="009C30B1" w:rsidRPr="0071011E">
        <w:rPr>
          <w:rFonts w:ascii="Times New Roman" w:hAnsi="Times New Roman" w:cs="Times New Roman"/>
          <w:sz w:val="24"/>
          <w:szCs w:val="24"/>
        </w:rPr>
        <w:lastRenderedPageBreak/>
        <w:t>from other innovative medical practice models, it does away with most of the hospital-like amenities</w:t>
      </w:r>
      <w:r w:rsidR="007301CA">
        <w:rPr>
          <w:rFonts w:ascii="Times New Roman" w:hAnsi="Times New Roman" w:cs="Times New Roman"/>
          <w:sz w:val="24"/>
          <w:szCs w:val="24"/>
        </w:rPr>
        <w:t xml:space="preserve"> </w:t>
      </w:r>
      <w:r w:rsidR="007301CA" w:rsidRPr="007301CA">
        <w:rPr>
          <w:rFonts w:ascii="Times New Roman" w:hAnsi="Times New Roman" w:cs="Times New Roman"/>
          <w:sz w:val="24"/>
          <w:szCs w:val="24"/>
        </w:rPr>
        <w:t>(Asarnow et al. 2017)</w:t>
      </w:r>
      <w:r w:rsidR="009C30B1" w:rsidRPr="0071011E">
        <w:rPr>
          <w:rFonts w:ascii="Times New Roman" w:hAnsi="Times New Roman" w:cs="Times New Roman"/>
          <w:sz w:val="24"/>
          <w:szCs w:val="24"/>
        </w:rPr>
        <w:t xml:space="preserve">. For the case of the health promotion model, it focuses on helping individuals in achieving well- being higher levels. Different from other medical practice models, it encourages health practitioners in providing complementary resources to assist patients in attaining </w:t>
      </w:r>
      <w:r w:rsidR="007301CA" w:rsidRPr="0071011E">
        <w:rPr>
          <w:rFonts w:ascii="Times New Roman" w:hAnsi="Times New Roman" w:cs="Times New Roman"/>
          <w:sz w:val="24"/>
          <w:szCs w:val="24"/>
        </w:rPr>
        <w:t>behavior</w:t>
      </w:r>
      <w:r w:rsidR="009C30B1" w:rsidRPr="0071011E">
        <w:rPr>
          <w:rFonts w:ascii="Times New Roman" w:hAnsi="Times New Roman" w:cs="Times New Roman"/>
          <w:sz w:val="24"/>
          <w:szCs w:val="24"/>
        </w:rPr>
        <w:t xml:space="preserve"> specific changes</w:t>
      </w:r>
      <w:r w:rsidR="007301CA" w:rsidRPr="007301CA">
        <w:rPr>
          <w:rFonts w:ascii="Times New Roman" w:hAnsi="Times New Roman" w:cs="Times New Roman"/>
          <w:sz w:val="24"/>
          <w:szCs w:val="24"/>
        </w:rPr>
        <w:t xml:space="preserve"> </w:t>
      </w:r>
      <w:r w:rsidR="007301CA">
        <w:rPr>
          <w:rFonts w:ascii="Times New Roman" w:hAnsi="Times New Roman" w:cs="Times New Roman"/>
          <w:sz w:val="24"/>
          <w:szCs w:val="24"/>
        </w:rPr>
        <w:t>(</w:t>
      </w:r>
      <w:r w:rsidR="007301CA" w:rsidRPr="007301CA">
        <w:rPr>
          <w:rFonts w:ascii="Times New Roman" w:hAnsi="Times New Roman" w:cs="Times New Roman"/>
          <w:sz w:val="24"/>
          <w:szCs w:val="24"/>
        </w:rPr>
        <w:t>Asarnow</w:t>
      </w:r>
      <w:r w:rsidR="007301CA">
        <w:rPr>
          <w:rFonts w:ascii="Times New Roman" w:hAnsi="Times New Roman" w:cs="Times New Roman"/>
          <w:sz w:val="24"/>
          <w:szCs w:val="24"/>
        </w:rPr>
        <w:t xml:space="preserve"> et al. 2017)</w:t>
      </w:r>
      <w:r w:rsidR="009C30B1" w:rsidRPr="0071011E">
        <w:rPr>
          <w:rFonts w:ascii="Times New Roman" w:hAnsi="Times New Roman" w:cs="Times New Roman"/>
          <w:sz w:val="24"/>
          <w:szCs w:val="24"/>
        </w:rPr>
        <w:t>.</w:t>
      </w:r>
    </w:p>
    <w:p w:rsidR="00CE51DD" w:rsidRDefault="00CE51DD" w:rsidP="00CE51DD">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9C30B1" w:rsidRPr="0071011E" w:rsidRDefault="00B40337" w:rsidP="0071011E">
      <w:pPr>
        <w:spacing w:line="480" w:lineRule="auto"/>
        <w:ind w:firstLine="720"/>
        <w:rPr>
          <w:rFonts w:ascii="Times New Roman" w:hAnsi="Times New Roman" w:cs="Times New Roman"/>
          <w:sz w:val="24"/>
          <w:szCs w:val="24"/>
        </w:rPr>
      </w:pPr>
      <w:r w:rsidRPr="0071011E">
        <w:rPr>
          <w:rFonts w:ascii="Times New Roman" w:hAnsi="Times New Roman" w:cs="Times New Roman"/>
          <w:sz w:val="24"/>
          <w:szCs w:val="24"/>
        </w:rPr>
        <w:t>Conversely, medical practices are governed by regulations and laws in their operations. Some of the rules include the patient safety and improvement Act which protects health care practitioners who report unsafe conditions. It promotes the reporting of medical errors while maintaining the confidentiality rights of the patient. Additionally, the affordable care act</w:t>
      </w:r>
      <w:r w:rsidR="00CE51DD">
        <w:rPr>
          <w:rFonts w:ascii="Times New Roman" w:hAnsi="Times New Roman" w:cs="Times New Roman"/>
          <w:sz w:val="24"/>
          <w:szCs w:val="24"/>
        </w:rPr>
        <w:t>, M</w:t>
      </w:r>
      <w:r w:rsidR="003F45EB" w:rsidRPr="0071011E">
        <w:rPr>
          <w:rFonts w:ascii="Times New Roman" w:hAnsi="Times New Roman" w:cs="Times New Roman"/>
          <w:sz w:val="24"/>
          <w:szCs w:val="24"/>
        </w:rPr>
        <w:t xml:space="preserve">edicare and Medicaid </w:t>
      </w:r>
      <w:r w:rsidRPr="0071011E">
        <w:rPr>
          <w:rFonts w:ascii="Times New Roman" w:hAnsi="Times New Roman" w:cs="Times New Roman"/>
          <w:sz w:val="24"/>
          <w:szCs w:val="24"/>
        </w:rPr>
        <w:t xml:space="preserve">also governs the medical practice. It offers an opportunity for health care practitioners to participate in shaping patient services delivery. The healthcare Quality </w:t>
      </w:r>
      <w:r w:rsidR="003F45EB" w:rsidRPr="0071011E">
        <w:rPr>
          <w:rFonts w:ascii="Times New Roman" w:hAnsi="Times New Roman" w:cs="Times New Roman"/>
          <w:sz w:val="24"/>
          <w:szCs w:val="24"/>
        </w:rPr>
        <w:t>Improvement Act of 1986 establishes immunity for institutions and professionals during quality assessments</w:t>
      </w:r>
      <w:r w:rsidR="006D3083" w:rsidRPr="006D3083">
        <w:rPr>
          <w:rFonts w:ascii="Times New Roman" w:hAnsi="Times New Roman" w:cs="Times New Roman"/>
          <w:sz w:val="24"/>
          <w:szCs w:val="24"/>
        </w:rPr>
        <w:t xml:space="preserve"> </w:t>
      </w:r>
      <w:r w:rsidR="006D3083">
        <w:rPr>
          <w:rFonts w:ascii="Times New Roman" w:hAnsi="Times New Roman" w:cs="Times New Roman"/>
          <w:sz w:val="24"/>
          <w:szCs w:val="24"/>
        </w:rPr>
        <w:t>(</w:t>
      </w:r>
      <w:r w:rsidR="006D3083" w:rsidRPr="006D3083">
        <w:rPr>
          <w:rFonts w:ascii="Times New Roman" w:hAnsi="Times New Roman" w:cs="Times New Roman"/>
          <w:sz w:val="24"/>
          <w:szCs w:val="24"/>
        </w:rPr>
        <w:t>Chavan &amp; Bangal, 2019</w:t>
      </w:r>
      <w:r w:rsidR="006D3083">
        <w:rPr>
          <w:rFonts w:ascii="Times New Roman" w:hAnsi="Times New Roman" w:cs="Times New Roman"/>
          <w:sz w:val="24"/>
          <w:szCs w:val="24"/>
        </w:rPr>
        <w:t>)</w:t>
      </w:r>
      <w:r w:rsidR="003F45EB" w:rsidRPr="0071011E">
        <w:rPr>
          <w:rFonts w:ascii="Times New Roman" w:hAnsi="Times New Roman" w:cs="Times New Roman"/>
          <w:sz w:val="24"/>
          <w:szCs w:val="24"/>
        </w:rPr>
        <w:t>.</w:t>
      </w:r>
    </w:p>
    <w:p w:rsidR="00CE51DD" w:rsidRDefault="00CE51DD" w:rsidP="00CE51DD">
      <w:pPr>
        <w:spacing w:line="480" w:lineRule="auto"/>
        <w:rPr>
          <w:rFonts w:ascii="Times New Roman" w:hAnsi="Times New Roman" w:cs="Times New Roman"/>
          <w:sz w:val="24"/>
          <w:szCs w:val="24"/>
        </w:rPr>
      </w:pPr>
      <w:r>
        <w:rPr>
          <w:rFonts w:ascii="Times New Roman" w:hAnsi="Times New Roman" w:cs="Times New Roman"/>
          <w:sz w:val="24"/>
          <w:szCs w:val="24"/>
        </w:rPr>
        <w:t>QUESTION 5</w:t>
      </w:r>
      <w:r w:rsidR="006D3083">
        <w:rPr>
          <w:rFonts w:ascii="Times New Roman" w:hAnsi="Times New Roman" w:cs="Times New Roman"/>
          <w:sz w:val="24"/>
          <w:szCs w:val="24"/>
        </w:rPr>
        <w:t xml:space="preserve"> </w:t>
      </w:r>
    </w:p>
    <w:p w:rsidR="003F45EB" w:rsidRDefault="006D3083" w:rsidP="00CE51D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Chavan &amp; Bangal, </w:t>
      </w:r>
      <w:r w:rsidRPr="006D3083">
        <w:rPr>
          <w:rFonts w:ascii="Times New Roman" w:hAnsi="Times New Roman" w:cs="Times New Roman"/>
          <w:sz w:val="24"/>
          <w:szCs w:val="24"/>
        </w:rPr>
        <w:t>2019</w:t>
      </w:r>
      <w:r>
        <w:rPr>
          <w:rFonts w:ascii="Times New Roman" w:hAnsi="Times New Roman" w:cs="Times New Roman"/>
          <w:sz w:val="24"/>
          <w:szCs w:val="24"/>
        </w:rPr>
        <w:t>, t</w:t>
      </w:r>
      <w:r w:rsidR="00B40337" w:rsidRPr="0071011E">
        <w:rPr>
          <w:rFonts w:ascii="Times New Roman" w:hAnsi="Times New Roman" w:cs="Times New Roman"/>
          <w:sz w:val="24"/>
          <w:szCs w:val="24"/>
        </w:rPr>
        <w:t>he Stark Law governs the type of referrals doctors who can make when they bill for Medicaid and medicare. Its presumption</w:t>
      </w:r>
      <w:r w:rsidR="00136E8E" w:rsidRPr="0071011E">
        <w:rPr>
          <w:rFonts w:ascii="Times New Roman" w:hAnsi="Times New Roman" w:cs="Times New Roman"/>
          <w:sz w:val="24"/>
          <w:szCs w:val="24"/>
        </w:rPr>
        <w:t xml:space="preserve"> is referrals presented by a doctor to designated health service may not be legal when the doctor has interest mostly financial in a designated health service. </w:t>
      </w:r>
      <w:r w:rsidR="0071011E">
        <w:rPr>
          <w:rFonts w:ascii="Times New Roman" w:hAnsi="Times New Roman" w:cs="Times New Roman"/>
          <w:sz w:val="24"/>
          <w:szCs w:val="24"/>
        </w:rPr>
        <w:t>Improperly r</w:t>
      </w:r>
      <w:r w:rsidR="0071011E" w:rsidRPr="0071011E">
        <w:rPr>
          <w:rFonts w:ascii="Times New Roman" w:hAnsi="Times New Roman" w:cs="Times New Roman"/>
          <w:sz w:val="24"/>
          <w:szCs w:val="24"/>
        </w:rPr>
        <w:t>eferring</w:t>
      </w:r>
      <w:r w:rsidR="00136E8E" w:rsidRPr="0071011E">
        <w:rPr>
          <w:rFonts w:ascii="Times New Roman" w:hAnsi="Times New Roman" w:cs="Times New Roman"/>
          <w:sz w:val="24"/>
          <w:szCs w:val="24"/>
        </w:rPr>
        <w:t xml:space="preserve"> to work by medical practices can lead to payment </w:t>
      </w:r>
      <w:r w:rsidR="008C2FE5" w:rsidRPr="0071011E">
        <w:rPr>
          <w:rFonts w:ascii="Times New Roman" w:hAnsi="Times New Roman" w:cs="Times New Roman"/>
          <w:sz w:val="24"/>
          <w:szCs w:val="24"/>
        </w:rPr>
        <w:t>denial;</w:t>
      </w:r>
      <w:r w:rsidR="00136E8E" w:rsidRPr="0071011E">
        <w:rPr>
          <w:rFonts w:ascii="Times New Roman" w:hAnsi="Times New Roman" w:cs="Times New Roman"/>
          <w:sz w:val="24"/>
          <w:szCs w:val="24"/>
        </w:rPr>
        <w:t xml:space="preserve"> lose the right to bill Medicaid or medicare</w:t>
      </w:r>
      <w:bookmarkStart w:id="0" w:name="_GoBack"/>
      <w:bookmarkEnd w:id="0"/>
      <w:r w:rsidR="00136E8E" w:rsidRPr="0071011E">
        <w:rPr>
          <w:rFonts w:ascii="Times New Roman" w:hAnsi="Times New Roman" w:cs="Times New Roman"/>
          <w:sz w:val="24"/>
          <w:szCs w:val="24"/>
        </w:rPr>
        <w:t xml:space="preserve"> as well as facing civil penalties for violation of Stark. However, there can be an exception where all exceptions must comply with</w:t>
      </w:r>
      <w:r w:rsidR="00C258B3" w:rsidRPr="0071011E">
        <w:rPr>
          <w:rFonts w:ascii="Times New Roman" w:hAnsi="Times New Roman" w:cs="Times New Roman"/>
          <w:sz w:val="24"/>
          <w:szCs w:val="24"/>
        </w:rPr>
        <w:t xml:space="preserve"> Steak </w:t>
      </w:r>
      <w:r w:rsidR="0071011E" w:rsidRPr="0071011E">
        <w:rPr>
          <w:rFonts w:ascii="Times New Roman" w:hAnsi="Times New Roman" w:cs="Times New Roman"/>
          <w:sz w:val="24"/>
          <w:szCs w:val="24"/>
        </w:rPr>
        <w:t>and Centers</w:t>
      </w:r>
      <w:r w:rsidR="00136E8E" w:rsidRPr="0071011E">
        <w:rPr>
          <w:rFonts w:ascii="Times New Roman" w:hAnsi="Times New Roman" w:cs="Times New Roman"/>
          <w:sz w:val="24"/>
          <w:szCs w:val="24"/>
        </w:rPr>
        <w:t xml:space="preserve"> for Medicaid and Medicare</w:t>
      </w:r>
      <w:r w:rsidR="00C258B3" w:rsidRPr="0071011E">
        <w:rPr>
          <w:rFonts w:ascii="Times New Roman" w:hAnsi="Times New Roman" w:cs="Times New Roman"/>
          <w:sz w:val="24"/>
          <w:szCs w:val="24"/>
        </w:rPr>
        <w:t xml:space="preserve"> services</w:t>
      </w:r>
      <w:r w:rsidR="00136E8E" w:rsidRPr="0071011E">
        <w:rPr>
          <w:rFonts w:ascii="Times New Roman" w:hAnsi="Times New Roman" w:cs="Times New Roman"/>
          <w:sz w:val="24"/>
          <w:szCs w:val="24"/>
        </w:rPr>
        <w:t xml:space="preserve"> regulations</w:t>
      </w:r>
      <w:r w:rsidR="00C258B3" w:rsidRPr="0071011E">
        <w:rPr>
          <w:rFonts w:ascii="Times New Roman" w:hAnsi="Times New Roman" w:cs="Times New Roman"/>
          <w:sz w:val="24"/>
          <w:szCs w:val="24"/>
        </w:rPr>
        <w:t xml:space="preserve"> and only applies </w:t>
      </w:r>
      <w:r w:rsidR="00C258B3" w:rsidRPr="0071011E">
        <w:rPr>
          <w:rFonts w:ascii="Times New Roman" w:hAnsi="Times New Roman" w:cs="Times New Roman"/>
          <w:sz w:val="24"/>
          <w:szCs w:val="24"/>
        </w:rPr>
        <w:lastRenderedPageBreak/>
        <w:t>when the volume and amount of the referrals are not excess. Additionally, exceptions need that the doctor is a member of a practice group</w:t>
      </w:r>
      <w:r w:rsidRPr="006D3083">
        <w:rPr>
          <w:rFonts w:ascii="Times New Roman" w:hAnsi="Times New Roman" w:cs="Times New Roman"/>
          <w:sz w:val="24"/>
          <w:szCs w:val="24"/>
        </w:rPr>
        <w:t xml:space="preserve"> </w:t>
      </w:r>
      <w:r>
        <w:rPr>
          <w:rFonts w:ascii="Times New Roman" w:hAnsi="Times New Roman" w:cs="Times New Roman"/>
          <w:sz w:val="24"/>
          <w:szCs w:val="24"/>
        </w:rPr>
        <w:t>(</w:t>
      </w:r>
      <w:r w:rsidRPr="006D3083">
        <w:rPr>
          <w:rFonts w:ascii="Times New Roman" w:hAnsi="Times New Roman" w:cs="Times New Roman"/>
          <w:sz w:val="24"/>
          <w:szCs w:val="24"/>
        </w:rPr>
        <w:t>Chavan &amp; Bangal, 2019</w:t>
      </w:r>
      <w:r>
        <w:rPr>
          <w:rFonts w:ascii="Times New Roman" w:hAnsi="Times New Roman" w:cs="Times New Roman"/>
          <w:sz w:val="24"/>
          <w:szCs w:val="24"/>
        </w:rPr>
        <w:t>)</w:t>
      </w:r>
      <w:r w:rsidR="00C258B3" w:rsidRPr="0071011E">
        <w:rPr>
          <w:rFonts w:ascii="Times New Roman" w:hAnsi="Times New Roman" w:cs="Times New Roman"/>
          <w:sz w:val="24"/>
          <w:szCs w:val="24"/>
        </w:rPr>
        <w:t>.</w:t>
      </w:r>
    </w:p>
    <w:p w:rsidR="0071011E" w:rsidRDefault="0071011E" w:rsidP="0071011E">
      <w:pPr>
        <w:spacing w:line="480" w:lineRule="auto"/>
        <w:rPr>
          <w:rFonts w:ascii="Times New Roman" w:hAnsi="Times New Roman" w:cs="Times New Roman"/>
          <w:sz w:val="24"/>
          <w:szCs w:val="24"/>
        </w:rPr>
      </w:pPr>
    </w:p>
    <w:p w:rsidR="0071011E" w:rsidRDefault="0071011E" w:rsidP="0071011E">
      <w:pPr>
        <w:spacing w:line="480" w:lineRule="auto"/>
        <w:rPr>
          <w:rFonts w:ascii="Times New Roman" w:hAnsi="Times New Roman" w:cs="Times New Roman"/>
          <w:sz w:val="24"/>
          <w:szCs w:val="24"/>
        </w:rPr>
      </w:pPr>
    </w:p>
    <w:p w:rsidR="0071011E" w:rsidRDefault="0071011E"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CE51DD" w:rsidRDefault="00CE51DD" w:rsidP="0071011E">
      <w:pPr>
        <w:spacing w:line="480" w:lineRule="auto"/>
        <w:rPr>
          <w:rFonts w:ascii="Times New Roman" w:hAnsi="Times New Roman" w:cs="Times New Roman"/>
          <w:sz w:val="24"/>
          <w:szCs w:val="24"/>
        </w:rPr>
      </w:pPr>
    </w:p>
    <w:p w:rsidR="0071011E" w:rsidRDefault="0071011E" w:rsidP="0071011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D3083" w:rsidRPr="0071011E" w:rsidRDefault="006D3083" w:rsidP="006D3083">
      <w:pPr>
        <w:spacing w:line="480" w:lineRule="auto"/>
        <w:ind w:left="720" w:hanging="720"/>
        <w:rPr>
          <w:rFonts w:ascii="Times New Roman" w:hAnsi="Times New Roman" w:cs="Times New Roman"/>
          <w:sz w:val="24"/>
          <w:szCs w:val="24"/>
        </w:rPr>
      </w:pPr>
      <w:r w:rsidRPr="006D3083">
        <w:rPr>
          <w:rFonts w:ascii="Times New Roman" w:hAnsi="Times New Roman" w:cs="Times New Roman"/>
          <w:sz w:val="24"/>
          <w:szCs w:val="24"/>
        </w:rPr>
        <w:t>Asarnow, J. R., Kolko, D. J., Miranda, J., &amp; Kazak, A. E. (2017). The pediatric patient-centered medical home: innovative models for improving behavioral health. </w:t>
      </w:r>
      <w:r w:rsidRPr="006D3083">
        <w:rPr>
          <w:rFonts w:ascii="Times New Roman" w:hAnsi="Times New Roman" w:cs="Times New Roman"/>
          <w:i/>
          <w:iCs/>
          <w:sz w:val="24"/>
          <w:szCs w:val="24"/>
        </w:rPr>
        <w:t>American Psychologist</w:t>
      </w:r>
      <w:r w:rsidRPr="006D3083">
        <w:rPr>
          <w:rFonts w:ascii="Times New Roman" w:hAnsi="Times New Roman" w:cs="Times New Roman"/>
          <w:sz w:val="24"/>
          <w:szCs w:val="24"/>
        </w:rPr>
        <w:t>, </w:t>
      </w:r>
      <w:r w:rsidRPr="006D3083">
        <w:rPr>
          <w:rFonts w:ascii="Times New Roman" w:hAnsi="Times New Roman" w:cs="Times New Roman"/>
          <w:i/>
          <w:iCs/>
          <w:sz w:val="24"/>
          <w:szCs w:val="24"/>
        </w:rPr>
        <w:t>72</w:t>
      </w:r>
      <w:r w:rsidRPr="006D3083">
        <w:rPr>
          <w:rFonts w:ascii="Times New Roman" w:hAnsi="Times New Roman" w:cs="Times New Roman"/>
          <w:sz w:val="24"/>
          <w:szCs w:val="24"/>
        </w:rPr>
        <w:t>(1), 13.</w:t>
      </w:r>
    </w:p>
    <w:p w:rsidR="006D3083" w:rsidRDefault="006D3083" w:rsidP="006D3083">
      <w:pPr>
        <w:spacing w:line="480" w:lineRule="auto"/>
        <w:ind w:left="720" w:hanging="720"/>
        <w:rPr>
          <w:rFonts w:ascii="Times New Roman" w:hAnsi="Times New Roman" w:cs="Times New Roman"/>
          <w:sz w:val="24"/>
          <w:szCs w:val="24"/>
        </w:rPr>
      </w:pPr>
      <w:r w:rsidRPr="006D3083">
        <w:rPr>
          <w:rFonts w:ascii="Times New Roman" w:hAnsi="Times New Roman" w:cs="Times New Roman"/>
          <w:sz w:val="24"/>
          <w:szCs w:val="24"/>
        </w:rPr>
        <w:t>Chavan, K. D., &amp; Bangal, R. S. (2019). </w:t>
      </w:r>
      <w:r w:rsidRPr="006D3083">
        <w:rPr>
          <w:rFonts w:ascii="Times New Roman" w:hAnsi="Times New Roman" w:cs="Times New Roman"/>
          <w:i/>
          <w:iCs/>
          <w:sz w:val="24"/>
          <w:szCs w:val="24"/>
        </w:rPr>
        <w:t>Informed Consent in Medical Practice: Principles and Convention</w:t>
      </w:r>
      <w:r w:rsidRPr="006D3083">
        <w:rPr>
          <w:rFonts w:ascii="Times New Roman" w:hAnsi="Times New Roman" w:cs="Times New Roman"/>
          <w:sz w:val="24"/>
          <w:szCs w:val="24"/>
        </w:rPr>
        <w:t>. JP Medical Ltd.</w:t>
      </w:r>
    </w:p>
    <w:p w:rsidR="006D3083" w:rsidRDefault="006D3083" w:rsidP="006D3083">
      <w:pPr>
        <w:spacing w:line="480" w:lineRule="auto"/>
        <w:ind w:left="720" w:hanging="720"/>
        <w:rPr>
          <w:rFonts w:ascii="Times New Roman" w:hAnsi="Times New Roman" w:cs="Times New Roman"/>
          <w:sz w:val="24"/>
          <w:szCs w:val="24"/>
        </w:rPr>
      </w:pPr>
      <w:r w:rsidRPr="006D3083">
        <w:rPr>
          <w:rFonts w:ascii="Times New Roman" w:hAnsi="Times New Roman" w:cs="Times New Roman"/>
          <w:sz w:val="24"/>
          <w:szCs w:val="24"/>
        </w:rPr>
        <w:t>Taiwo, A. A., Lawal, F. A., &amp; Agwu, P. E. (2016). Vision and Mission in Organization: Myth or Heuristic Device?. </w:t>
      </w:r>
      <w:r w:rsidRPr="006D3083">
        <w:rPr>
          <w:rFonts w:ascii="Times New Roman" w:hAnsi="Times New Roman" w:cs="Times New Roman"/>
          <w:i/>
          <w:iCs/>
          <w:sz w:val="24"/>
          <w:szCs w:val="24"/>
        </w:rPr>
        <w:t>The International Journal of Business &amp; Management</w:t>
      </w:r>
      <w:r w:rsidRPr="006D3083">
        <w:rPr>
          <w:rFonts w:ascii="Times New Roman" w:hAnsi="Times New Roman" w:cs="Times New Roman"/>
          <w:sz w:val="24"/>
          <w:szCs w:val="24"/>
        </w:rPr>
        <w:t>, </w:t>
      </w:r>
      <w:r w:rsidRPr="006D3083">
        <w:rPr>
          <w:rFonts w:ascii="Times New Roman" w:hAnsi="Times New Roman" w:cs="Times New Roman"/>
          <w:i/>
          <w:iCs/>
          <w:sz w:val="24"/>
          <w:szCs w:val="24"/>
        </w:rPr>
        <w:t>4</w:t>
      </w:r>
      <w:r w:rsidRPr="006D3083">
        <w:rPr>
          <w:rFonts w:ascii="Times New Roman" w:hAnsi="Times New Roman" w:cs="Times New Roman"/>
          <w:sz w:val="24"/>
          <w:szCs w:val="24"/>
        </w:rPr>
        <w:t>(3).</w:t>
      </w:r>
    </w:p>
    <w:sectPr w:rsidR="006D3083" w:rsidSect="0071011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538" w:rsidRDefault="003B0538" w:rsidP="0071011E">
      <w:pPr>
        <w:spacing w:after="0" w:line="240" w:lineRule="auto"/>
      </w:pPr>
      <w:r>
        <w:separator/>
      </w:r>
    </w:p>
  </w:endnote>
  <w:endnote w:type="continuationSeparator" w:id="0">
    <w:p w:rsidR="003B0538" w:rsidRDefault="003B0538" w:rsidP="007101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538" w:rsidRDefault="003B0538" w:rsidP="0071011E">
      <w:pPr>
        <w:spacing w:after="0" w:line="240" w:lineRule="auto"/>
      </w:pPr>
      <w:r>
        <w:separator/>
      </w:r>
    </w:p>
  </w:footnote>
  <w:footnote w:type="continuationSeparator" w:id="0">
    <w:p w:rsidR="003B0538" w:rsidRDefault="003B0538" w:rsidP="007101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333020"/>
      <w:docPartObj>
        <w:docPartGallery w:val="Page Numbers (Top of Page)"/>
        <w:docPartUnique/>
      </w:docPartObj>
    </w:sdtPr>
    <w:sdtEndPr>
      <w:rPr>
        <w:noProof/>
      </w:rPr>
    </w:sdtEndPr>
    <w:sdtContent>
      <w:p w:rsidR="0071011E" w:rsidRDefault="0071011E">
        <w:pPr>
          <w:pStyle w:val="Header"/>
          <w:jc w:val="right"/>
        </w:pPr>
        <w:r>
          <w:fldChar w:fldCharType="begin"/>
        </w:r>
        <w:r>
          <w:instrText xml:space="preserve"> PAGE   \* MERGEFORMAT </w:instrText>
        </w:r>
        <w:r>
          <w:fldChar w:fldCharType="separate"/>
        </w:r>
        <w:r w:rsidR="008C2FE5">
          <w:rPr>
            <w:noProof/>
          </w:rPr>
          <w:t>4</w:t>
        </w:r>
        <w:r>
          <w:rPr>
            <w:noProof/>
          </w:rPr>
          <w:fldChar w:fldCharType="end"/>
        </w:r>
      </w:p>
    </w:sdtContent>
  </w:sdt>
  <w:p w:rsidR="0071011E" w:rsidRDefault="0071011E">
    <w:pPr>
      <w:pStyle w:val="Header"/>
    </w:pPr>
    <w:r>
      <w:t>MEDICAL PRACTICE.</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6063924"/>
      <w:docPartObj>
        <w:docPartGallery w:val="Page Numbers (Top of Page)"/>
        <w:docPartUnique/>
      </w:docPartObj>
    </w:sdtPr>
    <w:sdtEndPr>
      <w:rPr>
        <w:noProof/>
      </w:rPr>
    </w:sdtEndPr>
    <w:sdtContent>
      <w:p w:rsidR="0071011E" w:rsidRDefault="0071011E">
        <w:pPr>
          <w:pStyle w:val="Header"/>
          <w:jc w:val="right"/>
        </w:pPr>
        <w:r>
          <w:fldChar w:fldCharType="begin"/>
        </w:r>
        <w:r>
          <w:instrText xml:space="preserve"> PAGE   \* MERGEFORMAT </w:instrText>
        </w:r>
        <w:r>
          <w:fldChar w:fldCharType="separate"/>
        </w:r>
        <w:r w:rsidR="008C2FE5">
          <w:rPr>
            <w:noProof/>
          </w:rPr>
          <w:t>1</w:t>
        </w:r>
        <w:r>
          <w:rPr>
            <w:noProof/>
          </w:rPr>
          <w:fldChar w:fldCharType="end"/>
        </w:r>
      </w:p>
    </w:sdtContent>
  </w:sdt>
  <w:p w:rsidR="0071011E" w:rsidRDefault="0071011E">
    <w:pPr>
      <w:pStyle w:val="Header"/>
    </w:pPr>
    <w:r>
      <w:t>Running Head: MEDICAL PRACTICE.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4392"/>
    <w:rsid w:val="00136E8E"/>
    <w:rsid w:val="002C002D"/>
    <w:rsid w:val="003B0538"/>
    <w:rsid w:val="003F45EB"/>
    <w:rsid w:val="00454F22"/>
    <w:rsid w:val="005547CC"/>
    <w:rsid w:val="0056145F"/>
    <w:rsid w:val="005A46C9"/>
    <w:rsid w:val="005A64B2"/>
    <w:rsid w:val="005B5851"/>
    <w:rsid w:val="006D3083"/>
    <w:rsid w:val="0071011E"/>
    <w:rsid w:val="007301CA"/>
    <w:rsid w:val="00836AE6"/>
    <w:rsid w:val="00866315"/>
    <w:rsid w:val="008A7E42"/>
    <w:rsid w:val="008C22F1"/>
    <w:rsid w:val="008C2FE5"/>
    <w:rsid w:val="009A4392"/>
    <w:rsid w:val="009C30B1"/>
    <w:rsid w:val="00B01B81"/>
    <w:rsid w:val="00B40337"/>
    <w:rsid w:val="00C258B3"/>
    <w:rsid w:val="00CE51DD"/>
    <w:rsid w:val="00D24397"/>
    <w:rsid w:val="00D71DE0"/>
    <w:rsid w:val="00DA3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210B486-7DAA-411D-A0CA-3A2A04987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01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011E"/>
  </w:style>
  <w:style w:type="paragraph" w:styleId="Footer">
    <w:name w:val="footer"/>
    <w:basedOn w:val="Normal"/>
    <w:link w:val="FooterChar"/>
    <w:uiPriority w:val="99"/>
    <w:unhideWhenUsed/>
    <w:rsid w:val="007101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01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927</Words>
  <Characters>5289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Ellie kamau</dc:creator>
  <cp:lastModifiedBy>hp</cp:lastModifiedBy>
  <cp:revision>2</cp:revision>
  <dcterms:created xsi:type="dcterms:W3CDTF">2020-09-08T18:41:00Z</dcterms:created>
  <dcterms:modified xsi:type="dcterms:W3CDTF">2020-09-08T18:41:00Z</dcterms:modified>
</cp:coreProperties>
</file>